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141EA" w14:textId="768CD549" w:rsidR="00582B22" w:rsidRPr="00582B22" w:rsidRDefault="002263E9" w:rsidP="007A16F0">
      <w:pPr>
        <w:spacing w:after="0" w:line="276" w:lineRule="auto"/>
        <w:rPr>
          <w:b/>
          <w:bCs/>
          <w:color w:val="000000" w:themeColor="text1"/>
        </w:rPr>
      </w:pPr>
      <w:bookmarkStart w:id="0" w:name="_GoBack"/>
      <w:r w:rsidRPr="00582B22">
        <w:rPr>
          <w:b/>
          <w:bCs/>
          <w:color w:val="000000" w:themeColor="text1"/>
        </w:rPr>
        <w:t>11 TRƯỜNG HỢP ÁP DỤNG BẢNG GIÁ ĐẤT</w:t>
      </w:r>
      <w:r>
        <w:rPr>
          <w:b/>
          <w:bCs/>
          <w:color w:val="000000" w:themeColor="text1"/>
          <w:lang w:val="en-US"/>
        </w:rPr>
        <w:t xml:space="preserve"> THEO QUY ĐỊNH LUẬT ĐẤT ĐAI NĂM 2023</w:t>
      </w:r>
      <w:r w:rsidRPr="00582B22">
        <w:rPr>
          <w:b/>
          <w:bCs/>
          <w:color w:val="000000" w:themeColor="text1"/>
        </w:rPr>
        <w:t xml:space="preserve"> </w:t>
      </w:r>
    </w:p>
    <w:bookmarkEnd w:id="0"/>
    <w:p w14:paraId="265E4D91" w14:textId="78C9B2FC" w:rsidR="00582B22" w:rsidRDefault="00582B22" w:rsidP="007A16F0">
      <w:pPr>
        <w:spacing w:after="0" w:line="276" w:lineRule="auto"/>
        <w:ind w:firstLine="720"/>
        <w:rPr>
          <w:color w:val="000000" w:themeColor="text1"/>
          <w:lang w:val="en-US"/>
        </w:rPr>
      </w:pPr>
      <w:r w:rsidRPr="00582B22">
        <w:rPr>
          <w:color w:val="000000" w:themeColor="text1"/>
        </w:rPr>
        <w:t>Theo khoản 1 Điều 159 Luật Đất đai 2024, từ</w:t>
      </w:r>
      <w:r w:rsidR="00323346">
        <w:rPr>
          <w:color w:val="000000" w:themeColor="text1"/>
          <w:lang w:val="en-US"/>
        </w:rPr>
        <w:t xml:space="preserve"> ngày </w:t>
      </w:r>
      <w:r w:rsidRPr="00582B22">
        <w:rPr>
          <w:color w:val="000000" w:themeColor="text1"/>
        </w:rPr>
        <w:t xml:space="preserve"> 01/01/2026, bảng giá đất sẽ được áp dụng </w:t>
      </w:r>
      <w:r w:rsidR="00323346">
        <w:rPr>
          <w:color w:val="000000" w:themeColor="text1"/>
          <w:lang w:val="en-US"/>
        </w:rPr>
        <w:t>đối với các trường hợp sau</w:t>
      </w:r>
      <w:r w:rsidRPr="00582B22">
        <w:rPr>
          <w:color w:val="000000" w:themeColor="text1"/>
        </w:rPr>
        <w:t>:</w:t>
      </w:r>
    </w:p>
    <w:p w14:paraId="62B8E34C" w14:textId="77777777" w:rsidR="008727A1" w:rsidRDefault="008727A1" w:rsidP="007A16F0">
      <w:pPr>
        <w:spacing w:after="0" w:line="276" w:lineRule="auto"/>
        <w:ind w:firstLine="709"/>
      </w:pPr>
      <w:r>
        <w:t>a) Tính tiền sử dụng đất khi Nhà nước công nhận quyền sử dụng đất ở của hộ gia đình, cá nhân; chuyển mục đích sử dụng đất của hộ gia đình, cá nhân;</w:t>
      </w:r>
    </w:p>
    <w:p w14:paraId="69F4B725" w14:textId="77777777" w:rsidR="008727A1" w:rsidRDefault="008727A1" w:rsidP="007A16F0">
      <w:pPr>
        <w:spacing w:after="0" w:line="276" w:lineRule="auto"/>
        <w:ind w:firstLine="709"/>
      </w:pPr>
      <w:r>
        <w:t>b) Tính tiền thuê đất khi Nhà nước cho thuê đất thu tiền thuê đất hằng năm;</w:t>
      </w:r>
    </w:p>
    <w:p w14:paraId="6C22ECCB" w14:textId="77777777" w:rsidR="008727A1" w:rsidRDefault="008727A1" w:rsidP="007A16F0">
      <w:pPr>
        <w:spacing w:after="0" w:line="276" w:lineRule="auto"/>
        <w:ind w:firstLine="709"/>
      </w:pPr>
      <w:r>
        <w:t>c) Tính thuế sử dụng đất;</w:t>
      </w:r>
    </w:p>
    <w:p w14:paraId="12E3063C" w14:textId="77777777" w:rsidR="008727A1" w:rsidRDefault="008727A1" w:rsidP="007A16F0">
      <w:pPr>
        <w:spacing w:after="0" w:line="276" w:lineRule="auto"/>
        <w:ind w:firstLine="709"/>
      </w:pPr>
      <w:r>
        <w:t>d) Tính thuế thu nhập từ chuyển quyền sử dụng đất đối với hộ gia đình, cá nhân;</w:t>
      </w:r>
    </w:p>
    <w:p w14:paraId="2A72E139" w14:textId="77777777" w:rsidR="008727A1" w:rsidRDefault="008727A1" w:rsidP="007A16F0">
      <w:pPr>
        <w:spacing w:after="0" w:line="276" w:lineRule="auto"/>
        <w:ind w:firstLine="709"/>
      </w:pPr>
      <w:r>
        <w:t>đ) Tính lệ phí trong quản lý, sử dụng đất đai;</w:t>
      </w:r>
    </w:p>
    <w:p w14:paraId="14370EBE" w14:textId="77777777" w:rsidR="008727A1" w:rsidRDefault="008727A1" w:rsidP="007A16F0">
      <w:pPr>
        <w:spacing w:after="0" w:line="276" w:lineRule="auto"/>
        <w:ind w:firstLine="709"/>
      </w:pPr>
      <w:r>
        <w:t>e)</w:t>
      </w:r>
      <w:r>
        <w:rPr>
          <w:lang w:val="en-US"/>
        </w:rPr>
        <w:t xml:space="preserve"> </w:t>
      </w:r>
      <w:r>
        <w:t>Tính tiền xử phạt vi phạm hành chính trong lĩnh vực đất đai;</w:t>
      </w:r>
    </w:p>
    <w:p w14:paraId="1F3D49FF" w14:textId="77777777" w:rsidR="008727A1" w:rsidRDefault="008727A1" w:rsidP="007A16F0">
      <w:pPr>
        <w:spacing w:after="0" w:line="276" w:lineRule="auto"/>
        <w:ind w:firstLine="709"/>
      </w:pPr>
      <w:r>
        <w:t>g) Tính tiền bồi thường cho Nhà nước khi gây thiệt hại trong quản lý, sử dụng đất đai;</w:t>
      </w:r>
    </w:p>
    <w:p w14:paraId="0D4C6D3E" w14:textId="77777777" w:rsidR="008727A1" w:rsidRDefault="008727A1" w:rsidP="007A16F0">
      <w:pPr>
        <w:spacing w:after="0" w:line="276" w:lineRule="auto"/>
        <w:ind w:firstLine="709"/>
      </w:pPr>
      <w: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4807A071" w14:textId="77777777" w:rsidR="008727A1" w:rsidRDefault="008727A1" w:rsidP="007A16F0">
      <w:pPr>
        <w:spacing w:after="0" w:line="276" w:lineRule="auto"/>
        <w:ind w:firstLine="709"/>
      </w:pPr>
      <w:r>
        <w:t>i)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67A2DC60" w14:textId="77777777" w:rsidR="008727A1" w:rsidRDefault="008727A1" w:rsidP="007A16F0">
      <w:pPr>
        <w:spacing w:after="0" w:line="276" w:lineRule="auto"/>
        <w:ind w:firstLine="709"/>
      </w:pPr>
      <w:r>
        <w:t>k) Tính tiền sử dụng đất đối với trường hợp giao đất không thông qua đấu giá quyền sử dụng đất cho hộ gia đình, cá nhân;</w:t>
      </w:r>
    </w:p>
    <w:p w14:paraId="6DED3A18" w14:textId="77777777" w:rsidR="008727A1" w:rsidRDefault="008727A1" w:rsidP="007A16F0">
      <w:pPr>
        <w:spacing w:after="0" w:line="276" w:lineRule="auto"/>
        <w:ind w:firstLine="709"/>
      </w:pPr>
      <w:r>
        <w:t>l) Tính tiền sử dụng đất đối với trường hợp bán nhà ở thuộc sở hữu nhà nước cho người đang thuê.</w:t>
      </w:r>
    </w:p>
    <w:p w14:paraId="621DB4BD" w14:textId="5B9F2596" w:rsidR="00582B22" w:rsidRPr="00582B22" w:rsidRDefault="00032576" w:rsidP="007A16F0">
      <w:pPr>
        <w:spacing w:after="0" w:line="276" w:lineRule="auto"/>
        <w:ind w:firstLine="720"/>
        <w:rPr>
          <w:color w:val="000000" w:themeColor="text1"/>
        </w:rPr>
      </w:pPr>
      <w:r>
        <w:rPr>
          <w:noProof/>
          <w:color w:val="000000" w:themeColor="text1"/>
          <w:lang w:val="en-US"/>
        </w:rPr>
        <w:drawing>
          <wp:anchor distT="0" distB="0" distL="114300" distR="114300" simplePos="0" relativeHeight="251658240" behindDoc="0" locked="0" layoutInCell="1" allowOverlap="1" wp14:anchorId="04661D00" wp14:editId="065A5EB1">
            <wp:simplePos x="0" y="0"/>
            <wp:positionH relativeFrom="margin">
              <wp:posOffset>68580</wp:posOffset>
            </wp:positionH>
            <wp:positionV relativeFrom="paragraph">
              <wp:posOffset>1182370</wp:posOffset>
            </wp:positionV>
            <wp:extent cx="5735955" cy="2268220"/>
            <wp:effectExtent l="0" t="0" r="0" b="0"/>
            <wp:wrapSquare wrapText="bothSides"/>
            <wp:docPr id="1292124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24642" name="Picture 1292124642"/>
                    <pic:cNvPicPr/>
                  </pic:nvPicPr>
                  <pic:blipFill>
                    <a:blip r:embed="rId4">
                      <a:extLst>
                        <a:ext uri="{28A0092B-C50C-407E-A947-70E740481C1C}">
                          <a14:useLocalDpi xmlns:a14="http://schemas.microsoft.com/office/drawing/2010/main" val="0"/>
                        </a:ext>
                      </a:extLst>
                    </a:blip>
                    <a:stretch>
                      <a:fillRect/>
                    </a:stretch>
                  </pic:blipFill>
                  <pic:spPr>
                    <a:xfrm>
                      <a:off x="0" y="0"/>
                      <a:ext cx="5735955" cy="2268220"/>
                    </a:xfrm>
                    <a:prstGeom prst="rect">
                      <a:avLst/>
                    </a:prstGeom>
                  </pic:spPr>
                </pic:pic>
              </a:graphicData>
            </a:graphic>
            <wp14:sizeRelH relativeFrom="margin">
              <wp14:pctWidth>0</wp14:pctWidth>
            </wp14:sizeRelH>
            <wp14:sizeRelV relativeFrom="margin">
              <wp14:pctHeight>0</wp14:pctHeight>
            </wp14:sizeRelV>
          </wp:anchor>
        </w:drawing>
      </w:r>
      <w:r w:rsidR="00582B22" w:rsidRPr="00582B22">
        <w:rPr>
          <w:color w:val="000000" w:themeColor="text1"/>
        </w:rPr>
        <w:t xml:space="preserve">Như vậy, </w:t>
      </w:r>
      <w:r w:rsidR="00582B22" w:rsidRPr="00582B22">
        <w:rPr>
          <w:color w:val="000000" w:themeColor="text1"/>
          <w:lang w:val="en-US"/>
        </w:rPr>
        <w:t xml:space="preserve">kể </w:t>
      </w:r>
      <w:r w:rsidR="00582B22" w:rsidRPr="00582B22">
        <w:rPr>
          <w:color w:val="000000" w:themeColor="text1"/>
        </w:rPr>
        <w:t>từ</w:t>
      </w:r>
      <w:r w:rsidR="00582B22" w:rsidRPr="00582B22">
        <w:rPr>
          <w:color w:val="000000" w:themeColor="text1"/>
          <w:lang w:val="en-US"/>
        </w:rPr>
        <w:t xml:space="preserve"> ngày</w:t>
      </w:r>
      <w:r w:rsidR="00582B22" w:rsidRPr="00582B22">
        <w:rPr>
          <w:color w:val="000000" w:themeColor="text1"/>
        </w:rPr>
        <w:t xml:space="preserve"> 01/01/2026, bảng giá đất sẽ được áp dụng khi tính tiền sử dụng đất, tiền thuê đất, tiền thuế sử dụng đất, tiền thuế thu nhập từ việc chuyển nhượng đất, tiền lệ phí quản lý và sử dụng đất, tiền xử phạt hoặc bồi thường khi vi phạm hoặc để tính giá khởi điểm khi đấu giá quyền sử dụng đất.</w:t>
      </w:r>
    </w:p>
    <w:p w14:paraId="28ABA0C3" w14:textId="2ACB7DA0" w:rsidR="00582B22" w:rsidRDefault="00582B22" w:rsidP="007A16F0">
      <w:pPr>
        <w:spacing w:after="0" w:line="276" w:lineRule="auto"/>
        <w:rPr>
          <w:color w:val="000000" w:themeColor="text1"/>
          <w:lang w:val="en-US"/>
        </w:rPr>
      </w:pPr>
    </w:p>
    <w:p w14:paraId="5B43141B" w14:textId="4A6640F0" w:rsidR="00582B22" w:rsidRPr="00582B22" w:rsidRDefault="00582B22" w:rsidP="007A16F0">
      <w:pPr>
        <w:spacing w:after="0" w:line="276" w:lineRule="auto"/>
        <w:rPr>
          <w:b/>
          <w:bCs/>
          <w:i/>
          <w:iCs/>
          <w:color w:val="000000" w:themeColor="text1"/>
        </w:rPr>
      </w:pPr>
      <w:r w:rsidRPr="00582B22">
        <w:rPr>
          <w:b/>
          <w:bCs/>
          <w:i/>
          <w:iCs/>
          <w:color w:val="000000" w:themeColor="text1"/>
          <w:lang w:val="en-US"/>
        </w:rPr>
        <w:t>Kể t</w:t>
      </w:r>
      <w:r w:rsidRPr="00582B22">
        <w:rPr>
          <w:b/>
          <w:bCs/>
          <w:i/>
          <w:iCs/>
          <w:color w:val="000000" w:themeColor="text1"/>
        </w:rPr>
        <w:t xml:space="preserve">ừ </w:t>
      </w:r>
      <w:r w:rsidRPr="00582B22">
        <w:rPr>
          <w:b/>
          <w:bCs/>
          <w:i/>
          <w:iCs/>
          <w:color w:val="000000" w:themeColor="text1"/>
          <w:lang w:val="en-US"/>
        </w:rPr>
        <w:t xml:space="preserve">ngày </w:t>
      </w:r>
      <w:r w:rsidRPr="00582B22">
        <w:rPr>
          <w:b/>
          <w:bCs/>
          <w:i/>
          <w:iCs/>
          <w:color w:val="000000" w:themeColor="text1"/>
        </w:rPr>
        <w:t>01/01/2026, bảng giá đất sẽ được ban hành hằng năm</w:t>
      </w:r>
    </w:p>
    <w:p w14:paraId="376743A6" w14:textId="037BEAE9" w:rsidR="00582B22" w:rsidRPr="00582B22" w:rsidRDefault="00582B22" w:rsidP="007A16F0">
      <w:pPr>
        <w:spacing w:after="0" w:line="276" w:lineRule="auto"/>
        <w:ind w:firstLine="720"/>
        <w:rPr>
          <w:color w:val="000000" w:themeColor="text1"/>
        </w:rPr>
      </w:pPr>
      <w:r w:rsidRPr="00582B22">
        <w:rPr>
          <w:color w:val="000000" w:themeColor="text1"/>
        </w:rPr>
        <w:t xml:space="preserve">Theo khoản 3 Điều 159 Luật Đất đai năm 2024, từ </w:t>
      </w:r>
      <w:r w:rsidR="00323346">
        <w:rPr>
          <w:color w:val="000000" w:themeColor="text1"/>
          <w:lang w:val="en-US"/>
        </w:rPr>
        <w:t xml:space="preserve">ngày </w:t>
      </w:r>
      <w:r w:rsidRPr="00582B22">
        <w:rPr>
          <w:color w:val="000000" w:themeColor="text1"/>
        </w:rPr>
        <w:t>01/01/2026, bảng giá đất sẽ được ban hành theo từng năm, thay vì xây dựng bảng giá đất 05 năm/lần theo Luật Đất đai 2013.</w:t>
      </w:r>
    </w:p>
    <w:p w14:paraId="0F9B0A1B" w14:textId="272A13FA" w:rsidR="00582B22" w:rsidRPr="00582B22" w:rsidRDefault="00582B22" w:rsidP="007A16F0">
      <w:pPr>
        <w:spacing w:after="0" w:line="276" w:lineRule="auto"/>
        <w:rPr>
          <w:color w:val="000000" w:themeColor="text1"/>
        </w:rPr>
      </w:pPr>
      <w:r w:rsidRPr="00582B22">
        <w:rPr>
          <w:color w:val="000000" w:themeColor="text1"/>
          <w:lang w:val="en-US"/>
        </w:rPr>
        <w:t>B</w:t>
      </w:r>
      <w:r w:rsidRPr="00582B22">
        <w:rPr>
          <w:color w:val="000000" w:themeColor="text1"/>
        </w:rPr>
        <w:t>ảng giá đất sẽ được xây dựng tùy theo từng khu vực hoặc vị trí. Với khu vực có bản đồ địa chính số và cơ sở dữ liệu về giá đất thì xây dựng bảng giá chuẩn cho từng thửa đất.</w:t>
      </w:r>
    </w:p>
    <w:p w14:paraId="17FD7234" w14:textId="6DFBE6FE" w:rsidR="00582B22" w:rsidRPr="00582B22" w:rsidRDefault="00582B22" w:rsidP="007A16F0">
      <w:pPr>
        <w:spacing w:after="0" w:line="276" w:lineRule="auto"/>
        <w:rPr>
          <w:color w:val="000000" w:themeColor="text1"/>
        </w:rPr>
      </w:pPr>
      <w:r w:rsidRPr="00582B22">
        <w:rPr>
          <w:color w:val="000000" w:themeColor="text1"/>
        </w:rPr>
        <w:t>Theo đó, UBND cấp tỉnh sẽ là cơ quan thực hiện xây dựng bảng giá đất, sau đó trình lên Hội đồng nhân dân cấp tỉnh để quyết định bảng giá đất lần đầu.</w:t>
      </w:r>
      <w:r w:rsidRPr="00582B22">
        <w:rPr>
          <w:color w:val="000000" w:themeColor="text1"/>
          <w:lang w:val="en-US"/>
        </w:rPr>
        <w:t xml:space="preserve"> </w:t>
      </w:r>
      <w:r w:rsidRPr="00582B22">
        <w:rPr>
          <w:color w:val="000000" w:themeColor="text1"/>
        </w:rPr>
        <w:t>Hàng năm, UBND tỉnh phải có trách nhiệm trình Hội đồng nhân dân tỉnh để ban hành bảng giá đất để công bố và áp dụng từ ngày 01/01 của năm tiếp theo.</w:t>
      </w:r>
    </w:p>
    <w:p w14:paraId="7ABC0CDD" w14:textId="5B2673B3" w:rsidR="00582B22" w:rsidRPr="00582B22" w:rsidRDefault="00582B22" w:rsidP="007A16F0">
      <w:pPr>
        <w:spacing w:after="0" w:line="276" w:lineRule="auto"/>
        <w:ind w:firstLine="720"/>
        <w:rPr>
          <w:color w:val="000000" w:themeColor="text1"/>
          <w:lang w:val="en-US"/>
        </w:rPr>
      </w:pPr>
      <w:r w:rsidRPr="00582B22">
        <w:rPr>
          <w:color w:val="000000" w:themeColor="text1"/>
          <w:lang w:val="en-US"/>
        </w:rPr>
        <w:t xml:space="preserve">Như vậy, việc xây dựng </w:t>
      </w:r>
      <w:r w:rsidRPr="00582B22">
        <w:rPr>
          <w:color w:val="000000" w:themeColor="text1"/>
        </w:rPr>
        <w:t>bảng giá đất hàng năm sẽ là tiền đề để bảo đảm bám sát diễn biến thực tế thị trường và mở rộng phạm vi áp dụng bảng giá đất, đồng thời tháo gỡ các bất cập, đặc biệt là hiện tượng hai giá</w:t>
      </w:r>
      <w:r w:rsidRPr="00582B22">
        <w:rPr>
          <w:color w:val="000000" w:themeColor="text1"/>
          <w:lang w:val="en-US"/>
        </w:rPr>
        <w:t xml:space="preserve"> khi thực hiện chuyển nhượng bất động sản</w:t>
      </w:r>
      <w:r w:rsidRPr="00582B22">
        <w:rPr>
          <w:color w:val="000000" w:themeColor="text1"/>
        </w:rPr>
        <w:t>. Đ</w:t>
      </w:r>
      <w:r w:rsidRPr="00582B22">
        <w:rPr>
          <w:color w:val="000000" w:themeColor="text1"/>
          <w:lang w:val="en-US"/>
        </w:rPr>
        <w:t>ồng thời, đây</w:t>
      </w:r>
      <w:r w:rsidRPr="00582B22">
        <w:rPr>
          <w:color w:val="000000" w:themeColor="text1"/>
        </w:rPr>
        <w:t xml:space="preserve"> sẽ là cơ sở để doanh nghiệp thực hiện công tác đền bù, giải phóng mặt bằng, thực hiện nghĩa vụ </w:t>
      </w:r>
      <w:hyperlink r:id="rId5" w:tgtFrame="_blank" w:history="1">
        <w:r w:rsidRPr="00582B22">
          <w:rPr>
            <w:rStyle w:val="Hyperlink"/>
            <w:color w:val="000000" w:themeColor="text1"/>
            <w:u w:val="none"/>
          </w:rPr>
          <w:t>tài chính</w:t>
        </w:r>
      </w:hyperlink>
      <w:r w:rsidRPr="00582B22">
        <w:rPr>
          <w:color w:val="000000" w:themeColor="text1"/>
        </w:rPr>
        <w:t xml:space="preserve"> đối với Nhà nước, tính toán chi phí </w:t>
      </w:r>
      <w:r w:rsidRPr="00582B22">
        <w:rPr>
          <w:color w:val="000000" w:themeColor="text1"/>
          <w:lang w:val="en-US"/>
        </w:rPr>
        <w:t>chính xác và hiệu quả.</w:t>
      </w:r>
      <w:r w:rsidR="00323346">
        <w:rPr>
          <w:color w:val="000000" w:themeColor="text1"/>
          <w:lang w:val="en-US"/>
        </w:rPr>
        <w:t>/.</w:t>
      </w:r>
    </w:p>
    <w:p w14:paraId="654F8B6D" w14:textId="77777777" w:rsidR="00646C91" w:rsidRPr="00582B22" w:rsidRDefault="00646C91" w:rsidP="007A16F0">
      <w:pPr>
        <w:spacing w:after="0" w:line="276" w:lineRule="auto"/>
        <w:rPr>
          <w:color w:val="000000" w:themeColor="text1"/>
        </w:rPr>
      </w:pPr>
    </w:p>
    <w:sectPr w:rsidR="00646C91" w:rsidRPr="0058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22"/>
    <w:rsid w:val="00032576"/>
    <w:rsid w:val="00204EB9"/>
    <w:rsid w:val="002263E9"/>
    <w:rsid w:val="00323346"/>
    <w:rsid w:val="00582B22"/>
    <w:rsid w:val="00646C91"/>
    <w:rsid w:val="007A16F0"/>
    <w:rsid w:val="008727A1"/>
    <w:rsid w:val="00C317F1"/>
    <w:rsid w:val="00C5326F"/>
    <w:rsid w:val="00CF7120"/>
    <w:rsid w:val="00DB3D40"/>
    <w:rsid w:val="00E35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7C1"/>
  <w15:chartTrackingRefBased/>
  <w15:docId w15:val="{D3A4FE65-5D90-438B-8307-24A63CE5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2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B2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82B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2B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2B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2B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2B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2B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B2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82B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2B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2B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2B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2B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2B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2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B2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82B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82B22"/>
    <w:pPr>
      <w:spacing w:before="160"/>
      <w:jc w:val="center"/>
    </w:pPr>
    <w:rPr>
      <w:i/>
      <w:iCs/>
      <w:color w:val="404040" w:themeColor="text1" w:themeTint="BF"/>
    </w:rPr>
  </w:style>
  <w:style w:type="character" w:customStyle="1" w:styleId="QuoteChar">
    <w:name w:val="Quote Char"/>
    <w:basedOn w:val="DefaultParagraphFont"/>
    <w:link w:val="Quote"/>
    <w:uiPriority w:val="29"/>
    <w:rsid w:val="00582B22"/>
    <w:rPr>
      <w:i/>
      <w:iCs/>
      <w:color w:val="404040" w:themeColor="text1" w:themeTint="BF"/>
    </w:rPr>
  </w:style>
  <w:style w:type="paragraph" w:styleId="ListParagraph">
    <w:name w:val="List Paragraph"/>
    <w:basedOn w:val="Normal"/>
    <w:uiPriority w:val="34"/>
    <w:qFormat/>
    <w:rsid w:val="00582B22"/>
    <w:pPr>
      <w:ind w:left="720"/>
      <w:contextualSpacing/>
    </w:pPr>
  </w:style>
  <w:style w:type="character" w:styleId="IntenseEmphasis">
    <w:name w:val="Intense Emphasis"/>
    <w:basedOn w:val="DefaultParagraphFont"/>
    <w:uiPriority w:val="21"/>
    <w:qFormat/>
    <w:rsid w:val="00582B22"/>
    <w:rPr>
      <w:i/>
      <w:iCs/>
      <w:color w:val="0F4761" w:themeColor="accent1" w:themeShade="BF"/>
    </w:rPr>
  </w:style>
  <w:style w:type="paragraph" w:styleId="IntenseQuote">
    <w:name w:val="Intense Quote"/>
    <w:basedOn w:val="Normal"/>
    <w:next w:val="Normal"/>
    <w:link w:val="IntenseQuoteChar"/>
    <w:uiPriority w:val="30"/>
    <w:qFormat/>
    <w:rsid w:val="00582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B22"/>
    <w:rPr>
      <w:i/>
      <w:iCs/>
      <w:color w:val="0F4761" w:themeColor="accent1" w:themeShade="BF"/>
    </w:rPr>
  </w:style>
  <w:style w:type="character" w:styleId="IntenseReference">
    <w:name w:val="Intense Reference"/>
    <w:basedOn w:val="DefaultParagraphFont"/>
    <w:uiPriority w:val="32"/>
    <w:qFormat/>
    <w:rsid w:val="00582B22"/>
    <w:rPr>
      <w:b/>
      <w:bCs/>
      <w:smallCaps/>
      <w:color w:val="0F4761" w:themeColor="accent1" w:themeShade="BF"/>
      <w:spacing w:val="5"/>
    </w:rPr>
  </w:style>
  <w:style w:type="character" w:styleId="Hyperlink">
    <w:name w:val="Hyperlink"/>
    <w:basedOn w:val="DefaultParagraphFont"/>
    <w:uiPriority w:val="99"/>
    <w:unhideWhenUsed/>
    <w:rsid w:val="00582B22"/>
    <w:rPr>
      <w:color w:val="467886" w:themeColor="hyperlink"/>
      <w:u w:val="single"/>
    </w:rPr>
  </w:style>
  <w:style w:type="character" w:customStyle="1" w:styleId="UnresolvedMention">
    <w:name w:val="Unresolved Mention"/>
    <w:basedOn w:val="DefaultParagraphFont"/>
    <w:uiPriority w:val="99"/>
    <w:semiHidden/>
    <w:unhideWhenUsed/>
    <w:rsid w:val="0087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126">
      <w:bodyDiv w:val="1"/>
      <w:marLeft w:val="0"/>
      <w:marRight w:val="0"/>
      <w:marTop w:val="0"/>
      <w:marBottom w:val="0"/>
      <w:divBdr>
        <w:top w:val="none" w:sz="0" w:space="0" w:color="auto"/>
        <w:left w:val="none" w:sz="0" w:space="0" w:color="auto"/>
        <w:bottom w:val="none" w:sz="0" w:space="0" w:color="auto"/>
        <w:right w:val="none" w:sz="0" w:space="0" w:color="auto"/>
      </w:divBdr>
    </w:div>
    <w:div w:id="769854208">
      <w:bodyDiv w:val="1"/>
      <w:marLeft w:val="0"/>
      <w:marRight w:val="0"/>
      <w:marTop w:val="0"/>
      <w:marBottom w:val="0"/>
      <w:divBdr>
        <w:top w:val="none" w:sz="0" w:space="0" w:color="auto"/>
        <w:left w:val="none" w:sz="0" w:space="0" w:color="auto"/>
        <w:bottom w:val="none" w:sz="0" w:space="0" w:color="auto"/>
        <w:right w:val="none" w:sz="0" w:space="0" w:color="auto"/>
      </w:divBdr>
    </w:div>
    <w:div w:id="1648629940">
      <w:bodyDiv w:val="1"/>
      <w:marLeft w:val="0"/>
      <w:marRight w:val="0"/>
      <w:marTop w:val="0"/>
      <w:marBottom w:val="0"/>
      <w:divBdr>
        <w:top w:val="none" w:sz="0" w:space="0" w:color="auto"/>
        <w:left w:val="none" w:sz="0" w:space="0" w:color="auto"/>
        <w:bottom w:val="none" w:sz="0" w:space="0" w:color="auto"/>
        <w:right w:val="none" w:sz="0" w:space="0" w:color="auto"/>
      </w:divBdr>
    </w:div>
    <w:div w:id="21058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odautu.vn/tai-chinh-bao-hiem-d6/"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VNN.R9</cp:lastModifiedBy>
  <cp:revision>6</cp:revision>
  <dcterms:created xsi:type="dcterms:W3CDTF">2024-11-14T07:44:00Z</dcterms:created>
  <dcterms:modified xsi:type="dcterms:W3CDTF">2024-11-26T15:47:00Z</dcterms:modified>
</cp:coreProperties>
</file>